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DA6B7">
      <w:pPr>
        <w:spacing w:after="400" w:line="400" w:lineRule="atLeast"/>
        <w:jc w:val="center"/>
      </w:pPr>
      <w:r>
        <w:rPr>
          <w:b/>
          <w:sz w:val="39"/>
        </w:rPr>
        <w:t>Product Technical Specification Document</w:t>
      </w:r>
    </w:p>
    <w:p w14:paraId="58A9302C">
      <w:pPr>
        <w:spacing w:after="400" w:line="400" w:lineRule="atLeast"/>
      </w:pPr>
      <w:r>
        <w:rPr>
          <w:b/>
        </w:rPr>
        <w:t>Wushi County Sunshine Agricultural Products Co., Ltd.</w:t>
      </w:r>
    </w:p>
    <w:p w14:paraId="39278A54">
      <w:pPr>
        <w:spacing w:after="400" w:line="400" w:lineRule="atLeast"/>
      </w:pPr>
      <w:r>
        <w:rPr>
          <w:b/>
        </w:rPr>
        <w:t>Date</w:t>
      </w:r>
      <w:r>
        <w:t>: [Insert Date]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924"/>
        <w:gridCol w:w="1047"/>
        <w:gridCol w:w="1252"/>
        <w:gridCol w:w="1358"/>
        <w:gridCol w:w="1359"/>
        <w:gridCol w:w="1297"/>
      </w:tblGrid>
      <w:tr w14:paraId="4B6A9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</w:tcPr>
          <w:p w14:paraId="18D96644">
            <w:pPr>
              <w:spacing w:after="400" w:line="400" w:lineRule="exact"/>
            </w:pPr>
            <w:r>
              <w:rPr>
                <w:b/>
              </w:rPr>
              <w:t>Product</w:t>
            </w:r>
          </w:p>
        </w:tc>
        <w:tc>
          <w:tcPr>
            <w:tcW w:w="947" w:type="dxa"/>
          </w:tcPr>
          <w:p w14:paraId="4D64F08E">
            <w:pPr>
              <w:spacing w:after="400" w:line="400" w:lineRule="exact"/>
            </w:pPr>
            <w:r>
              <w:rPr>
                <w:b/>
                <w:sz w:val="20"/>
                <w:szCs w:val="18"/>
              </w:rPr>
              <w:t xml:space="preserve">Moisture </w:t>
            </w:r>
            <w:r>
              <w:rPr>
                <w:b/>
              </w:rPr>
              <w:t>Content</w:t>
            </w:r>
          </w:p>
        </w:tc>
        <w:tc>
          <w:tcPr>
            <w:tcW w:w="1075" w:type="dxa"/>
          </w:tcPr>
          <w:p w14:paraId="4A691B1D">
            <w:pPr>
              <w:spacing w:after="400" w:line="400" w:lineRule="exact"/>
            </w:pPr>
            <w:r>
              <w:rPr>
                <w:b/>
              </w:rPr>
              <w:t>Impurities</w:t>
            </w:r>
          </w:p>
        </w:tc>
        <w:tc>
          <w:tcPr>
            <w:tcW w:w="1287" w:type="dxa"/>
          </w:tcPr>
          <w:p w14:paraId="432C9B52">
            <w:pPr>
              <w:spacing w:after="400" w:line="400" w:lineRule="exact"/>
            </w:pPr>
            <w:r>
              <w:rPr>
                <w:b/>
              </w:rPr>
              <w:t>Defect Rate</w:t>
            </w:r>
          </w:p>
        </w:tc>
        <w:tc>
          <w:tcPr>
            <w:tcW w:w="1397" w:type="dxa"/>
          </w:tcPr>
          <w:p w14:paraId="0CE2396E">
            <w:pPr>
              <w:spacing w:after="400" w:line="400" w:lineRule="exact"/>
            </w:pPr>
            <w:r>
              <w:rPr>
                <w:b/>
              </w:rPr>
              <w:t>Packaging Specifications</w:t>
            </w:r>
          </w:p>
        </w:tc>
        <w:tc>
          <w:tcPr>
            <w:tcW w:w="1397" w:type="dxa"/>
          </w:tcPr>
          <w:p w14:paraId="52933096">
            <w:pPr>
              <w:spacing w:after="400" w:line="400" w:lineRule="exact"/>
            </w:pPr>
            <w:r>
              <w:rPr>
                <w:b/>
              </w:rPr>
              <w:t>Storage Conditions</w:t>
            </w:r>
          </w:p>
        </w:tc>
        <w:tc>
          <w:tcPr>
            <w:tcW w:w="1332" w:type="dxa"/>
          </w:tcPr>
          <w:p w14:paraId="18A16FEF">
            <w:pPr>
              <w:spacing w:after="400" w:line="400" w:lineRule="exact"/>
            </w:pPr>
            <w:r>
              <w:rPr>
                <w:b/>
              </w:rPr>
              <w:t>Certifications</w:t>
            </w:r>
          </w:p>
        </w:tc>
      </w:tr>
      <w:tr w14:paraId="60A41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</w:tcPr>
          <w:p w14:paraId="4E5165D9">
            <w:pPr>
              <w:spacing w:after="400"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b/>
              </w:rPr>
              <w:t>Raisins</w:t>
            </w:r>
            <w:r>
              <w:rPr>
                <w:rFonts w:hint="eastAsia"/>
                <w:b/>
                <w:lang w:val="en-US" w:eastAsia="zh-CN"/>
              </w:rPr>
              <w:t>(Dried Grapes)</w:t>
            </w:r>
          </w:p>
        </w:tc>
        <w:tc>
          <w:tcPr>
            <w:tcW w:w="947" w:type="dxa"/>
          </w:tcPr>
          <w:p w14:paraId="73C6E426">
            <w:pPr>
              <w:spacing w:after="400" w:line="400" w:lineRule="exact"/>
            </w:pPr>
            <w:r>
              <w:t>≤15%</w:t>
            </w:r>
          </w:p>
        </w:tc>
        <w:tc>
          <w:tcPr>
            <w:tcW w:w="1075" w:type="dxa"/>
          </w:tcPr>
          <w:p w14:paraId="7E6A8008">
            <w:pPr>
              <w:spacing w:after="400" w:line="400" w:lineRule="exact"/>
            </w:pPr>
            <w:r>
              <w:t>≤0.1%</w:t>
            </w:r>
          </w:p>
        </w:tc>
        <w:tc>
          <w:tcPr>
            <w:tcW w:w="1287" w:type="dxa"/>
          </w:tcPr>
          <w:p w14:paraId="030956CF">
            <w:pPr>
              <w:spacing w:after="400" w:line="400" w:lineRule="exact"/>
            </w:pPr>
            <w:r>
              <w:t>≤0.1% damaged grains</w:t>
            </w:r>
          </w:p>
        </w:tc>
        <w:tc>
          <w:tcPr>
            <w:tcW w:w="1397" w:type="dxa"/>
          </w:tcPr>
          <w:p w14:paraId="087BA62B">
            <w:pPr>
              <w:spacing w:after="400" w:line="400" w:lineRule="exact"/>
            </w:pPr>
            <w:r>
              <w:t>10kg fixed-weight packages; labeled with manufacturer, production date, shelf life, and QS mark</w:t>
            </w:r>
          </w:p>
        </w:tc>
        <w:tc>
          <w:tcPr>
            <w:tcW w:w="1397" w:type="dxa"/>
          </w:tcPr>
          <w:p w14:paraId="43AE7A40">
            <w:pPr>
              <w:spacing w:after="400" w:line="400" w:lineRule="exact"/>
            </w:pPr>
            <w:r>
              <w:t>Cool, dry, ventilated; avoid light and moisture</w:t>
            </w:r>
          </w:p>
        </w:tc>
        <w:tc>
          <w:tcPr>
            <w:tcW w:w="1332" w:type="dxa"/>
          </w:tcPr>
          <w:p w14:paraId="7F09AD13">
            <w:pPr>
              <w:spacing w:after="400" w:line="400" w:lineRule="exact"/>
            </w:pPr>
            <w:r>
              <w:t>HACCP, BRC (certification pending)</w:t>
            </w:r>
          </w:p>
        </w:tc>
      </w:tr>
      <w:tr w14:paraId="19D04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</w:tcPr>
          <w:p w14:paraId="64C87862">
            <w:pPr>
              <w:spacing w:after="400" w:line="400" w:lineRule="exact"/>
            </w:pPr>
            <w:r>
              <w:rPr>
                <w:b/>
              </w:rPr>
              <w:t>Dried Mango</w:t>
            </w:r>
          </w:p>
        </w:tc>
        <w:tc>
          <w:tcPr>
            <w:tcW w:w="947" w:type="dxa"/>
          </w:tcPr>
          <w:p w14:paraId="0E819F43">
            <w:pPr>
              <w:spacing w:after="400" w:line="400" w:lineRule="exact"/>
            </w:pPr>
            <w:r>
              <w:t>≤18%</w:t>
            </w:r>
          </w:p>
        </w:tc>
        <w:tc>
          <w:tcPr>
            <w:tcW w:w="1075" w:type="dxa"/>
          </w:tcPr>
          <w:p w14:paraId="4649E00F">
            <w:pPr>
              <w:spacing w:after="400" w:line="400" w:lineRule="exact"/>
            </w:pPr>
            <w:r>
              <w:t>≤0.2%</w:t>
            </w:r>
          </w:p>
        </w:tc>
        <w:tc>
          <w:tcPr>
            <w:tcW w:w="1287" w:type="dxa"/>
          </w:tcPr>
          <w:p w14:paraId="03179064">
            <w:pPr>
              <w:spacing w:after="400" w:line="400" w:lineRule="exact"/>
            </w:pPr>
            <w:r>
              <w:t>≤0.5% discoloration</w:t>
            </w:r>
          </w:p>
        </w:tc>
        <w:tc>
          <w:tcPr>
            <w:tcW w:w="1397" w:type="dxa"/>
          </w:tcPr>
          <w:p w14:paraId="1C66487B">
            <w:pPr>
              <w:spacing w:after="400" w:line="400" w:lineRule="exact"/>
            </w:pPr>
            <w:r>
              <w:t>300g resealable pouches; bulk 20kg cartons</w:t>
            </w:r>
          </w:p>
        </w:tc>
        <w:tc>
          <w:tcPr>
            <w:tcW w:w="1397" w:type="dxa"/>
          </w:tcPr>
          <w:p w14:paraId="2620BCFF">
            <w:pPr>
              <w:spacing w:after="400" w:line="400" w:lineRule="exact"/>
            </w:pPr>
            <w:r>
              <w:t>Store below 25°C, relative humidity &lt;60% in sealed containers</w:t>
            </w:r>
          </w:p>
        </w:tc>
        <w:tc>
          <w:tcPr>
            <w:tcW w:w="1332" w:type="dxa"/>
          </w:tcPr>
          <w:p w14:paraId="6B7AE3B0">
            <w:pPr>
              <w:spacing w:after="400" w:line="400" w:lineRule="exact"/>
            </w:pPr>
            <w:r>
              <w:t>HACCP certified</w:t>
            </w:r>
          </w:p>
        </w:tc>
      </w:tr>
      <w:tr w14:paraId="31286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</w:tcPr>
          <w:p w14:paraId="3AD58451">
            <w:pPr>
              <w:spacing w:after="400" w:line="400" w:lineRule="exact"/>
            </w:pPr>
            <w:r>
              <w:rPr>
                <w:b/>
              </w:rPr>
              <w:t>Dried Jujube (Red Date)</w:t>
            </w:r>
          </w:p>
        </w:tc>
        <w:tc>
          <w:tcPr>
            <w:tcW w:w="947" w:type="dxa"/>
          </w:tcPr>
          <w:p w14:paraId="59F28C55">
            <w:pPr>
              <w:spacing w:after="400" w:line="400" w:lineRule="exact"/>
            </w:pPr>
            <w:r>
              <w:t>≤20%</w:t>
            </w:r>
          </w:p>
        </w:tc>
        <w:tc>
          <w:tcPr>
            <w:tcW w:w="1075" w:type="dxa"/>
          </w:tcPr>
          <w:p w14:paraId="0DDE4AAB">
            <w:pPr>
              <w:spacing w:after="400" w:line="400" w:lineRule="exact"/>
            </w:pPr>
            <w:r>
              <w:t>≤0.3%</w:t>
            </w:r>
          </w:p>
        </w:tc>
        <w:tc>
          <w:tcPr>
            <w:tcW w:w="1287" w:type="dxa"/>
          </w:tcPr>
          <w:p w14:paraId="170F1DF8">
            <w:pPr>
              <w:spacing w:after="400" w:line="400" w:lineRule="exact"/>
            </w:pPr>
            <w:r>
              <w:t>≤1% cracked surface</w:t>
            </w:r>
          </w:p>
        </w:tc>
        <w:tc>
          <w:tcPr>
            <w:tcW w:w="1397" w:type="dxa"/>
          </w:tcPr>
          <w:p w14:paraId="2D0D7856">
            <w:pPr>
              <w:spacing w:after="400" w:line="400" w:lineRule="exact"/>
            </w:pPr>
            <w:r>
              <w:t>1kg/5kg vacuum-sealed bags; gift boxes (500g × 12 units)</w:t>
            </w:r>
          </w:p>
        </w:tc>
        <w:tc>
          <w:tcPr>
            <w:tcW w:w="1397" w:type="dxa"/>
          </w:tcPr>
          <w:p w14:paraId="2FECD1ED">
            <w:pPr>
              <w:spacing w:after="400" w:line="400" w:lineRule="exact"/>
            </w:pPr>
            <w:r>
              <w:t>Cool, dry, and pest-proof environment</w:t>
            </w:r>
          </w:p>
        </w:tc>
        <w:tc>
          <w:tcPr>
            <w:tcW w:w="1332" w:type="dxa"/>
          </w:tcPr>
          <w:p w14:paraId="6ED94BCF">
            <w:pPr>
              <w:spacing w:after="400" w:line="400" w:lineRule="exact"/>
            </w:pPr>
            <w:r>
              <w:t>BRC Global Standard (Grade AA)</w:t>
            </w:r>
          </w:p>
        </w:tc>
      </w:tr>
      <w:tr w14:paraId="0D3DE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</w:tcPr>
          <w:p w14:paraId="577B1BA7">
            <w:pPr>
              <w:spacing w:after="400" w:line="400" w:lineRule="exact"/>
            </w:pPr>
            <w:r>
              <w:rPr>
                <w:b/>
              </w:rPr>
              <w:t>Dried Goji Berry</w:t>
            </w:r>
          </w:p>
        </w:tc>
        <w:tc>
          <w:tcPr>
            <w:tcW w:w="947" w:type="dxa"/>
          </w:tcPr>
          <w:p w14:paraId="5FC3FDB7">
            <w:pPr>
              <w:spacing w:after="400" w:line="400" w:lineRule="exact"/>
            </w:pPr>
            <w:r>
              <w:t>≤13%</w:t>
            </w:r>
          </w:p>
        </w:tc>
        <w:tc>
          <w:tcPr>
            <w:tcW w:w="1075" w:type="dxa"/>
          </w:tcPr>
          <w:p w14:paraId="221149F5">
            <w:pPr>
              <w:spacing w:after="400" w:line="400" w:lineRule="exact"/>
            </w:pPr>
            <w:r>
              <w:t>≤1%</w:t>
            </w:r>
          </w:p>
        </w:tc>
        <w:tc>
          <w:tcPr>
            <w:tcW w:w="1287" w:type="dxa"/>
          </w:tcPr>
          <w:p w14:paraId="7288285B">
            <w:pPr>
              <w:spacing w:after="400" w:line="400" w:lineRule="exact"/>
            </w:pPr>
            <w:r>
              <w:t>Oily grains ≤15%</w:t>
            </w:r>
          </w:p>
        </w:tc>
        <w:tc>
          <w:tcPr>
            <w:tcW w:w="1397" w:type="dxa"/>
          </w:tcPr>
          <w:p w14:paraId="029AB1C2">
            <w:pPr>
              <w:spacing w:after="400" w:line="400" w:lineRule="exact"/>
            </w:pPr>
            <w:r>
              <w:t>50g/100g retail pouches; 20kg bulk cartons</w:t>
            </w:r>
          </w:p>
        </w:tc>
        <w:tc>
          <w:tcPr>
            <w:tcW w:w="1397" w:type="dxa"/>
          </w:tcPr>
          <w:p w14:paraId="34D9CCED">
            <w:pPr>
              <w:spacing w:after="400" w:line="400" w:lineRule="exact"/>
            </w:pPr>
            <w:r>
              <w:t>Airtight, light-proof, pest-free; temp. &lt;25°C, humidity &lt;65%</w:t>
            </w:r>
          </w:p>
        </w:tc>
        <w:tc>
          <w:tcPr>
            <w:tcW w:w="1332" w:type="dxa"/>
          </w:tcPr>
          <w:p w14:paraId="0DD5F44F">
            <w:pPr>
              <w:spacing w:after="400" w:line="400" w:lineRule="exact"/>
            </w:pPr>
            <w:r>
              <w:t>HACCP, ISO 22000</w:t>
            </w:r>
          </w:p>
        </w:tc>
      </w:tr>
      <w:tr w14:paraId="3D759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</w:tcPr>
          <w:p w14:paraId="1688DFF1">
            <w:pPr>
              <w:spacing w:after="400" w:line="400" w:lineRule="exact"/>
            </w:pPr>
            <w:r>
              <w:rPr>
                <w:b/>
              </w:rPr>
              <w:t>Sea Buckthorn Puree</w:t>
            </w:r>
          </w:p>
        </w:tc>
        <w:tc>
          <w:tcPr>
            <w:tcW w:w="947" w:type="dxa"/>
          </w:tcPr>
          <w:p w14:paraId="2DEC3ACF">
            <w:pPr>
              <w:spacing w:after="400" w:line="400" w:lineRule="exact"/>
            </w:pPr>
            <w:r>
              <w:t>≤85% (liquid basis)</w:t>
            </w:r>
          </w:p>
        </w:tc>
        <w:tc>
          <w:tcPr>
            <w:tcW w:w="1075" w:type="dxa"/>
          </w:tcPr>
          <w:p w14:paraId="5876A599">
            <w:pPr>
              <w:spacing w:after="400" w:line="400" w:lineRule="exact"/>
            </w:pPr>
            <w:r>
              <w:t>No additives</w:t>
            </w:r>
          </w:p>
        </w:tc>
        <w:tc>
          <w:tcPr>
            <w:tcW w:w="1287" w:type="dxa"/>
          </w:tcPr>
          <w:p w14:paraId="4E257186">
            <w:pPr>
              <w:spacing w:after="400" w:line="400" w:lineRule="exact"/>
            </w:pPr>
            <w:r>
              <w:t>Skin residue ≤5%</w:t>
            </w:r>
          </w:p>
        </w:tc>
        <w:tc>
          <w:tcPr>
            <w:tcW w:w="1397" w:type="dxa"/>
          </w:tcPr>
          <w:p w14:paraId="2045BD96">
            <w:pPr>
              <w:spacing w:after="400" w:line="400" w:lineRule="exact"/>
            </w:pPr>
            <w:r>
              <w:t>50ml/150ml single-serve pouches; 300ml × 10 glass bottles</w:t>
            </w:r>
          </w:p>
        </w:tc>
        <w:tc>
          <w:tcPr>
            <w:tcW w:w="1397" w:type="dxa"/>
          </w:tcPr>
          <w:p w14:paraId="519FD6E4">
            <w:pPr>
              <w:spacing w:after="400" w:line="400" w:lineRule="exact"/>
            </w:pPr>
            <w:r>
              <w:t>Refrigerate at 0–4°C (unopened); consume within 24 hours after opening</w:t>
            </w:r>
          </w:p>
        </w:tc>
        <w:tc>
          <w:tcPr>
            <w:tcW w:w="1332" w:type="dxa"/>
          </w:tcPr>
          <w:p w14:paraId="22BD44E7">
            <w:pPr>
              <w:spacing w:after="400" w:line="400" w:lineRule="exact"/>
            </w:pPr>
            <w:r>
              <w:t>Organic EU 2018/848, HACCP</w:t>
            </w:r>
          </w:p>
        </w:tc>
      </w:tr>
      <w:tr w14:paraId="22189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</w:tcPr>
          <w:p w14:paraId="7D40CE35">
            <w:pPr>
              <w:spacing w:after="400" w:line="400" w:lineRule="exact"/>
            </w:pPr>
            <w:r>
              <w:rPr>
                <w:b/>
              </w:rPr>
              <w:t>Sea Buckthorn Powder</w:t>
            </w:r>
          </w:p>
        </w:tc>
        <w:tc>
          <w:tcPr>
            <w:tcW w:w="947" w:type="dxa"/>
          </w:tcPr>
          <w:p w14:paraId="1D92D22C">
            <w:pPr>
              <w:spacing w:after="400" w:line="400" w:lineRule="exact"/>
            </w:pPr>
            <w:r>
              <w:t>≤3%</w:t>
            </w:r>
          </w:p>
        </w:tc>
        <w:tc>
          <w:tcPr>
            <w:tcW w:w="1075" w:type="dxa"/>
          </w:tcPr>
          <w:p w14:paraId="7F79B6B4">
            <w:pPr>
              <w:spacing w:after="400" w:line="400" w:lineRule="exact"/>
            </w:pPr>
            <w:r>
              <w:t>≤0.5%</w:t>
            </w:r>
          </w:p>
        </w:tc>
        <w:tc>
          <w:tcPr>
            <w:tcW w:w="1287" w:type="dxa"/>
          </w:tcPr>
          <w:p w14:paraId="4E76089A">
            <w:pPr>
              <w:spacing w:after="400" w:line="400" w:lineRule="exact"/>
            </w:pPr>
            <w:r>
              <w:t>Incomplete cell breakage ≤3%</w:t>
            </w:r>
          </w:p>
        </w:tc>
        <w:tc>
          <w:tcPr>
            <w:tcW w:w="1397" w:type="dxa"/>
          </w:tcPr>
          <w:p w14:paraId="33CBC2D3">
            <w:pPr>
              <w:spacing w:after="400" w:line="400" w:lineRule="exact"/>
            </w:pPr>
            <w:r>
              <w:t>6g single-serve sachets; 25kg fiber drums</w:t>
            </w:r>
          </w:p>
        </w:tc>
        <w:tc>
          <w:tcPr>
            <w:tcW w:w="1397" w:type="dxa"/>
          </w:tcPr>
          <w:p w14:paraId="08CB1A04">
            <w:pPr>
              <w:spacing w:after="400" w:line="400" w:lineRule="exact"/>
            </w:pPr>
            <w:r>
              <w:t>Cool, dry, light-proof; humidity &lt;55%</w:t>
            </w:r>
          </w:p>
        </w:tc>
        <w:tc>
          <w:tcPr>
            <w:tcW w:w="1332" w:type="dxa"/>
          </w:tcPr>
          <w:p w14:paraId="0D51D01E">
            <w:pPr>
              <w:spacing w:after="400" w:line="400" w:lineRule="exact"/>
            </w:pPr>
            <w:r>
              <w:t>BRC, FDA-registered facility</w:t>
            </w:r>
          </w:p>
        </w:tc>
      </w:tr>
      <w:tr w14:paraId="49813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</w:tcPr>
          <w:p w14:paraId="3D803071">
            <w:pPr>
              <w:spacing w:after="400" w:line="400" w:lineRule="exact"/>
            </w:pPr>
            <w:r>
              <w:rPr>
                <w:b/>
              </w:rPr>
              <w:t>Sea Buckthorn Tea</w:t>
            </w:r>
          </w:p>
        </w:tc>
        <w:tc>
          <w:tcPr>
            <w:tcW w:w="947" w:type="dxa"/>
          </w:tcPr>
          <w:p w14:paraId="60E428B3">
            <w:pPr>
              <w:spacing w:after="400" w:line="400" w:lineRule="exact"/>
            </w:pPr>
            <w:r>
              <w:t>≤8%</w:t>
            </w:r>
          </w:p>
        </w:tc>
        <w:tc>
          <w:tcPr>
            <w:tcW w:w="1075" w:type="dxa"/>
          </w:tcPr>
          <w:p w14:paraId="417AFA27">
            <w:pPr>
              <w:spacing w:after="400" w:line="400" w:lineRule="exact"/>
            </w:pPr>
            <w:r>
              <w:t>≤0.2%</w:t>
            </w:r>
          </w:p>
        </w:tc>
        <w:tc>
          <w:tcPr>
            <w:tcW w:w="1287" w:type="dxa"/>
          </w:tcPr>
          <w:p w14:paraId="263D058D">
            <w:pPr>
              <w:spacing w:after="400" w:line="400" w:lineRule="exact"/>
            </w:pPr>
            <w:r>
              <w:t>N/A</w:t>
            </w:r>
          </w:p>
        </w:tc>
        <w:tc>
          <w:tcPr>
            <w:tcW w:w="1397" w:type="dxa"/>
          </w:tcPr>
          <w:p w14:paraId="44E2EFDE">
            <w:pPr>
              <w:spacing w:after="400" w:line="400" w:lineRule="exact"/>
            </w:pPr>
            <w:r>
              <w:t>50g tins; 500g bulk bags</w:t>
            </w:r>
          </w:p>
        </w:tc>
        <w:tc>
          <w:tcPr>
            <w:tcW w:w="1397" w:type="dxa"/>
          </w:tcPr>
          <w:p w14:paraId="0114B271">
            <w:pPr>
              <w:spacing w:after="400" w:line="400" w:lineRule="exact"/>
            </w:pPr>
            <w:r>
              <w:t>Room temperature, sealed, avoid high heat/humidity</w:t>
            </w:r>
          </w:p>
        </w:tc>
        <w:tc>
          <w:tcPr>
            <w:tcW w:w="1332" w:type="dxa"/>
          </w:tcPr>
          <w:p w14:paraId="2A5518E7">
            <w:pPr>
              <w:spacing w:after="400" w:line="400" w:lineRule="exact"/>
            </w:pPr>
            <w:r>
              <w:t>Organic Certification (USDA/EU)</w:t>
            </w:r>
          </w:p>
        </w:tc>
      </w:tr>
    </w:tbl>
    <w:p w14:paraId="5139DEBD">
      <w:pPr>
        <w:spacing w:before="400" w:after="400" w:line="400" w:lineRule="atLeast"/>
      </w:pPr>
      <w:r>
        <w:rPr>
          <w:b/>
          <w:sz w:val="30"/>
        </w:rPr>
        <w:t>Additional Notes:</w:t>
      </w:r>
    </w:p>
    <w:p w14:paraId="1B7D8CDA">
      <w:pPr>
        <w:numPr>
          <w:ilvl w:val="0"/>
          <w:numId w:val="1"/>
        </w:numPr>
        <w:spacing w:after="400" w:line="400" w:lineRule="atLeast"/>
      </w:pPr>
      <w:r>
        <w:rPr>
          <w:b/>
        </w:rPr>
        <w:t>Quality Standards</w:t>
      </w:r>
      <w:r>
        <w:t>:</w:t>
      </w:r>
      <w:bookmarkStart w:id="0" w:name="_GoBack"/>
      <w:bookmarkEnd w:id="0"/>
    </w:p>
    <w:p w14:paraId="26E10D73">
      <w:pPr>
        <w:numPr>
          <w:ilvl w:val="0"/>
          <w:numId w:val="2"/>
        </w:numPr>
        <w:spacing w:after="400" w:line="400" w:lineRule="atLeast"/>
      </w:pPr>
      <w:r>
        <w:t xml:space="preserve">Raisins: Compliant with China’s </w:t>
      </w:r>
      <w:r>
        <w:rPr>
          <w:b/>
        </w:rPr>
        <w:t>Special Grade National Standard</w:t>
      </w:r>
      <w:r>
        <w:t xml:space="preserve"> (sugar content ≥70%, color uniformity ≥95%).</w:t>
      </w:r>
    </w:p>
    <w:p w14:paraId="45C145DE">
      <w:pPr>
        <w:numPr>
          <w:ilvl w:val="0"/>
          <w:numId w:val="2"/>
        </w:numPr>
        <w:spacing w:after="400" w:line="400" w:lineRule="atLeast"/>
      </w:pPr>
      <w:r>
        <w:t>Goji Berries: Stricter lead limits (≤0.98mg/kg) than national requirements.</w:t>
      </w:r>
    </w:p>
    <w:p w14:paraId="30C26258">
      <w:pPr>
        <w:numPr>
          <w:ilvl w:val="0"/>
          <w:numId w:val="1"/>
        </w:numPr>
        <w:spacing w:after="400" w:line="400" w:lineRule="atLeast"/>
      </w:pPr>
      <w:r>
        <w:rPr>
          <w:b/>
        </w:rPr>
        <w:t>Storage Recommendations</w:t>
      </w:r>
      <w:r>
        <w:t>:</w:t>
      </w:r>
    </w:p>
    <w:p w14:paraId="7C9673CC">
      <w:pPr>
        <w:numPr>
          <w:ilvl w:val="0"/>
          <w:numId w:val="2"/>
        </w:numPr>
        <w:spacing w:after="400" w:line="400" w:lineRule="atLeast"/>
      </w:pPr>
      <w:r>
        <w:rPr>
          <w:b/>
        </w:rPr>
        <w:t>Bulk dried fruits</w:t>
      </w:r>
      <w:r>
        <w:t>: Include desiccants to maintain humidity &lt;15%.</w:t>
      </w:r>
    </w:p>
    <w:p w14:paraId="3F685D97">
      <w:pPr>
        <w:numPr>
          <w:ilvl w:val="0"/>
          <w:numId w:val="2"/>
        </w:numPr>
        <w:spacing w:after="400" w:line="400" w:lineRule="atLeast"/>
      </w:pPr>
      <w:r>
        <w:rPr>
          <w:b/>
        </w:rPr>
        <w:t>Sea Buckthorn Oil</w:t>
      </w:r>
      <w:r>
        <w:t>: Store in dark glass bottles at 0–4°C with 90–95% humidity.</w:t>
      </w:r>
    </w:p>
    <w:p w14:paraId="25C7DF13">
      <w:pPr>
        <w:numPr>
          <w:ilvl w:val="0"/>
          <w:numId w:val="1"/>
        </w:numPr>
        <w:spacing w:after="400" w:line="400" w:lineRule="atLeast"/>
      </w:pPr>
      <w:r>
        <w:rPr>
          <w:b/>
        </w:rPr>
        <w:t>Certifications</w:t>
      </w:r>
      <w:r>
        <w:t>:</w:t>
      </w:r>
    </w:p>
    <w:p w14:paraId="06F07A4D">
      <w:pPr>
        <w:numPr>
          <w:ilvl w:val="0"/>
          <w:numId w:val="2"/>
        </w:numPr>
        <w:spacing w:after="400" w:line="400" w:lineRule="atLeast"/>
      </w:pPr>
      <w:r>
        <w:rPr>
          <w:b/>
        </w:rPr>
        <w:t>HACCP/BRC</w:t>
      </w:r>
      <w:r>
        <w:t>: Fully certified for raisins, goji berries, and sea buckthorn products.</w:t>
      </w:r>
    </w:p>
    <w:p w14:paraId="6DFF9022">
      <w:pPr>
        <w:numPr>
          <w:ilvl w:val="0"/>
          <w:numId w:val="2"/>
        </w:numPr>
        <w:spacing w:after="400" w:line="400" w:lineRule="atLeast"/>
      </w:pPr>
      <w:r>
        <w:rPr>
          <w:b/>
        </w:rPr>
        <w:t>Organic Compliance</w:t>
      </w:r>
      <w:r>
        <w:t>: EU 2018/848 and USDA/NOP standards for pesticide-free cultivation.</w:t>
      </w:r>
    </w:p>
    <w:p w14:paraId="0F7A49B4">
      <w:pPr>
        <w:numPr>
          <w:ilvl w:val="0"/>
          <w:numId w:val="1"/>
        </w:numPr>
        <w:spacing w:after="400" w:line="400" w:lineRule="atLeast"/>
      </w:pPr>
      <w:r>
        <w:rPr>
          <w:b/>
        </w:rPr>
        <w:t>Production Methods</w:t>
      </w:r>
      <w:r>
        <w:t>:</w:t>
      </w:r>
    </w:p>
    <w:p w14:paraId="57D3DB26">
      <w:pPr>
        <w:numPr>
          <w:ilvl w:val="0"/>
          <w:numId w:val="2"/>
        </w:numPr>
        <w:spacing w:after="400" w:line="400" w:lineRule="atLeast"/>
      </w:pPr>
      <w:r>
        <w:rPr>
          <w:b/>
        </w:rPr>
        <w:t>Low-temperature vacuum drying</w:t>
      </w:r>
      <w:r>
        <w:t xml:space="preserve"> used for sea buckthorn powder to preserve nutrients.</w:t>
      </w:r>
    </w:p>
    <w:p w14:paraId="6A5C9B71">
      <w:pPr>
        <w:numPr>
          <w:ilvl w:val="0"/>
          <w:numId w:val="2"/>
        </w:numPr>
        <w:spacing w:after="400" w:line="400" w:lineRule="atLeast"/>
      </w:pPr>
      <w:r>
        <w:rPr>
          <w:b/>
        </w:rPr>
        <w:t>E-commerce livestreaming + short video promotions</w:t>
      </w:r>
      <w:r>
        <w:t xml:space="preserve"> for global market penetration.</w:t>
      </w:r>
    </w:p>
    <w:p w14:paraId="17D9E6D1">
      <w:pPr>
        <w:spacing w:after="400" w:line="400" w:lineRule="atLeast"/>
      </w:pPr>
      <w:r>
        <w:t>Let me know if you need further adjustments!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800C9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suff w:val="nothing"/>
      <w:lvlText w:val=""/>
      <w:lvlJc w:val="left"/>
      <w:rPr>
        <w:rFonts w:hint="default" w:ascii="Wingdings" w:hAnsi="Wingdings"/>
      </w:rPr>
    </w:lvl>
    <w:lvl w:ilvl="1" w:tentative="0">
      <w:start w:val="1"/>
      <w:numFmt w:val="bullet"/>
      <w:suff w:val="nothing"/>
      <w:lvlText w:val=""/>
      <w:lvlJc w:val="left"/>
      <w:pPr>
        <w:ind w:left="210"/>
      </w:pPr>
      <w:rPr>
        <w:rFonts w:hint="default" w:ascii="Wingdings" w:hAnsi="Wingdings"/>
      </w:rPr>
    </w:lvl>
    <w:lvl w:ilvl="2" w:tentative="0">
      <w:start w:val="1"/>
      <w:numFmt w:val="bullet"/>
      <w:suff w:val="nothing"/>
      <w:lvlText w:val=""/>
      <w:lvlJc w:val="left"/>
      <w:pPr>
        <w:ind w:left="420"/>
      </w:pPr>
      <w:rPr>
        <w:rFonts w:hint="default" w:ascii="Wingdings" w:hAnsi="Wingdings"/>
      </w:rPr>
    </w:lvl>
    <w:lvl w:ilvl="3" w:tentative="0">
      <w:start w:val="1"/>
      <w:numFmt w:val="bullet"/>
      <w:suff w:val="nothing"/>
      <w:lvlText w:val=""/>
      <w:lvlJc w:val="left"/>
      <w:pPr>
        <w:ind w:left="630"/>
      </w:pPr>
      <w:rPr>
        <w:rFonts w:hint="default" w:ascii="Wingdings" w:hAnsi="Wingdings"/>
      </w:rPr>
    </w:lvl>
    <w:lvl w:ilvl="4" w:tentative="0">
      <w:start w:val="1"/>
      <w:numFmt w:val="bullet"/>
      <w:suff w:val="nothing"/>
      <w:lvlText w:val=""/>
      <w:lvlJc w:val="left"/>
      <w:pPr>
        <w:ind w:left="840"/>
      </w:pPr>
      <w:rPr>
        <w:rFonts w:hint="default" w:ascii="Wingdings" w:hAnsi="Wingdings"/>
      </w:rPr>
    </w:lvl>
    <w:lvl w:ilvl="5" w:tentative="0">
      <w:start w:val="1"/>
      <w:numFmt w:val="bullet"/>
      <w:suff w:val="nothing"/>
      <w:lvlText w:val=""/>
      <w:lvlJc w:val="left"/>
      <w:pPr>
        <w:ind w:left="1050"/>
      </w:pPr>
      <w:rPr>
        <w:rFonts w:hint="default" w:ascii="Wingdings" w:hAnsi="Wingdings"/>
      </w:rPr>
    </w:lvl>
    <w:lvl w:ilvl="6" w:tentative="0">
      <w:start w:val="1"/>
      <w:numFmt w:val="bullet"/>
      <w:suff w:val="nothing"/>
      <w:lvlText w:val=""/>
      <w:lvlJc w:val="left"/>
      <w:pPr>
        <w:ind w:left="1260"/>
      </w:pPr>
      <w:rPr>
        <w:rFonts w:hint="default" w:ascii="Wingdings" w:hAnsi="Wingdings"/>
      </w:rPr>
    </w:lvl>
    <w:lvl w:ilvl="7" w:tentative="0">
      <w:start w:val="1"/>
      <w:numFmt w:val="bullet"/>
      <w:suff w:val="nothing"/>
      <w:lvlText w:val=""/>
      <w:lvlJc w:val="left"/>
      <w:pPr>
        <w:ind w:left="1470"/>
      </w:pPr>
      <w:rPr>
        <w:rFonts w:hint="default" w:ascii="Wingdings" w:hAnsi="Wingdings"/>
      </w:rPr>
    </w:lvl>
    <w:lvl w:ilvl="8" w:tentative="0">
      <w:start w:val="1"/>
      <w:numFmt w:val="bullet"/>
      <w:suff w:val="nothing"/>
      <w:lvlText w:val=""/>
      <w:lvlJc w:val="left"/>
      <w:pPr>
        <w:ind w:left="1680"/>
      </w:pPr>
      <w:rPr>
        <w:rFonts w:hint="default" w:ascii="Wingdings" w:hAnsi="Wingding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suff w:val="nothing"/>
      <w:lvlText w:val="%1."/>
      <w:lvlJc w:val="left"/>
    </w:lvl>
    <w:lvl w:ilvl="1" w:tentative="0">
      <w:start w:val="1"/>
      <w:numFmt w:val="decimal"/>
      <w:suff w:val="nothing"/>
      <w:lvlText w:val="%1.%2."/>
      <w:lvlJc w:val="left"/>
    </w:lvl>
    <w:lvl w:ilvl="2" w:tentative="0">
      <w:start w:val="1"/>
      <w:numFmt w:val="decimal"/>
      <w:suff w:val="nothing"/>
      <w:lvlText w:val="%1.%2.%3."/>
      <w:lvlJc w:val="left"/>
    </w:lvl>
    <w:lvl w:ilvl="3" w:tentative="0">
      <w:start w:val="1"/>
      <w:numFmt w:val="decimal"/>
      <w:suff w:val="nothing"/>
      <w:lvlText w:val="%1.%2.%3.%4."/>
      <w:lvlJc w:val="left"/>
    </w:lvl>
    <w:lvl w:ilvl="4" w:tentative="0">
      <w:start w:val="1"/>
      <w:numFmt w:val="decimal"/>
      <w:suff w:val="nothing"/>
      <w:lvlText w:val="%1.%2.%3.%4.%5."/>
      <w:lvlJc w:val="left"/>
    </w:lvl>
    <w:lvl w:ilvl="5" w:tentative="0">
      <w:start w:val="1"/>
      <w:numFmt w:val="decimal"/>
      <w:suff w:val="nothing"/>
      <w:lvlText w:val="%1.%2.%3.%4.%5.%6."/>
      <w:lvlJc w:val="left"/>
    </w:lvl>
    <w:lvl w:ilvl="6" w:tentative="0">
      <w:start w:val="1"/>
      <w:numFmt w:val="decimal"/>
      <w:suff w:val="nothing"/>
      <w:lvlText w:val="%1.%2.%3.%4.%5.%6.%7."/>
      <w:lvlJc w:val="left"/>
    </w:lvl>
    <w:lvl w:ilvl="7" w:tentative="0">
      <w:start w:val="1"/>
      <w:numFmt w:val="decimal"/>
      <w:suff w:val="nothing"/>
      <w:lvlText w:val="%1.%2.%3.%4.%5.%6.%7.%8."/>
      <w:lvlJc w:val="left"/>
    </w:lvl>
    <w:lvl w:ilvl="8" w:tentative="0">
      <w:start w:val="1"/>
      <w:numFmt w:val="decimal"/>
      <w:suff w:val="nothing"/>
      <w:lvlText w:val="%1.%2.%3.%4.%5.%6.%7.%8.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665C60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960</Words>
  <Characters>2986</Characters>
  <TotalTime>2</TotalTime>
  <ScaleCrop>false</ScaleCrop>
  <LinksUpToDate>false</LinksUpToDate>
  <CharactersWithSpaces>3282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2025-04-14T05:44:26Z</dcterms:created>
  <dc:creator>86133</dc:creator>
  <cp:lastModifiedBy>尼伯龙根的指环</cp:lastModifiedBy>
  <dcterms:modified xsi:type="dcterms:W3CDTF">2025-04-14T05:47:01Z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eyJoZGlkIjoiM2Q2ZWVkYzI0ZGU1MTk1MTFiYzU5NTRjYTc3MDY2OGMiLCJ1c2VySWQiOiIzNDMwMTY1OTUifQ==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C5D383A42BCC40389DC15ECCB3973459_12</vt:lpwstr>
  </property>
</Properties>
</file>